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3645F5" w:rsidRPr="007F09FA" w:rsidRDefault="007F09FA" w:rsidP="003645F5">
      <w:pPr>
        <w:widowControl w:val="0"/>
        <w:suppressAutoHyphens w:val="0"/>
        <w:autoSpaceDE w:val="0"/>
        <w:autoSpaceDN w:val="0"/>
        <w:adjustRightInd w:val="0"/>
        <w:ind w:firstLine="708"/>
        <w:jc w:val="both"/>
        <w:rPr>
          <w:rFonts w:cs="Times New Roman"/>
          <w:bCs/>
          <w:sz w:val="28"/>
          <w:szCs w:val="28"/>
          <w:lang w:eastAsia="en-US"/>
        </w:rPr>
      </w:pPr>
      <w:r w:rsidRPr="007F09FA">
        <w:rPr>
          <w:rFonts w:cs="Times New Roman"/>
          <w:sz w:val="28"/>
          <w:szCs w:val="28"/>
          <w:lang w:eastAsia="ru-RU"/>
        </w:rPr>
        <w:t>для проведения</w:t>
      </w:r>
      <w:r w:rsidR="003645F5">
        <w:rPr>
          <w:rFonts w:cs="Times New Roman"/>
          <w:sz w:val="28"/>
          <w:szCs w:val="28"/>
          <w:lang w:eastAsia="ru-RU"/>
        </w:rPr>
        <w:t xml:space="preserve"> экспертизы в виде публичных консультаций </w:t>
      </w:r>
      <w:r w:rsidRPr="007F09FA">
        <w:rPr>
          <w:rFonts w:cs="Times New Roman"/>
          <w:sz w:val="28"/>
          <w:szCs w:val="28"/>
          <w:lang w:eastAsia="ru-RU"/>
        </w:rPr>
        <w:t xml:space="preserve">нормативного правового акта </w:t>
      </w:r>
      <w:proofErr w:type="spellStart"/>
      <w:r w:rsidRPr="007F09FA">
        <w:rPr>
          <w:rFonts w:cs="Times New Roman"/>
          <w:sz w:val="28"/>
          <w:szCs w:val="28"/>
          <w:lang w:eastAsia="ru-RU"/>
        </w:rPr>
        <w:t>г.Владикавказа</w:t>
      </w:r>
      <w:proofErr w:type="spellEnd"/>
      <w:r w:rsidRPr="007F09FA">
        <w:rPr>
          <w:rFonts w:cs="Times New Roman"/>
          <w:sz w:val="28"/>
          <w:szCs w:val="28"/>
          <w:lang w:eastAsia="ru-RU"/>
        </w:rPr>
        <w:t>, затрагивающего вопросы осуществления предпринимательской и инвестиционной деятельности –</w:t>
      </w:r>
      <w:r w:rsidR="00000D2A">
        <w:rPr>
          <w:rFonts w:cs="Times New Roman"/>
          <w:sz w:val="28"/>
          <w:szCs w:val="28"/>
          <w:lang w:eastAsia="ru-RU"/>
        </w:rPr>
        <w:t xml:space="preserve"> </w:t>
      </w:r>
      <w:r w:rsidR="005F2CE6" w:rsidRPr="005F2CE6">
        <w:rPr>
          <w:rFonts w:cs="Times New Roman"/>
          <w:sz w:val="28"/>
          <w:szCs w:val="28"/>
          <w:lang w:eastAsia="en-US"/>
        </w:rPr>
        <w:t xml:space="preserve">постановление АМС </w:t>
      </w:r>
      <w:proofErr w:type="spellStart"/>
      <w:r w:rsidR="005F2CE6" w:rsidRPr="005F2CE6">
        <w:rPr>
          <w:rFonts w:cs="Times New Roman"/>
          <w:sz w:val="28"/>
          <w:szCs w:val="28"/>
          <w:lang w:eastAsia="en-US"/>
        </w:rPr>
        <w:t>г.Владикавказа</w:t>
      </w:r>
      <w:proofErr w:type="spellEnd"/>
      <w:r w:rsidR="005F2CE6" w:rsidRPr="005F2CE6">
        <w:rPr>
          <w:rFonts w:cs="Times New Roman"/>
          <w:sz w:val="28"/>
          <w:szCs w:val="28"/>
          <w:lang w:eastAsia="en-US"/>
        </w:rPr>
        <w:t xml:space="preserve"> от 02.09.2020 №652 «Об утверждении положения о порядке размещения нестационарных торговых объектов и объектов по оказанию услуг, положения о проведении аукциона на право размещения нестационарных торговых объектов и объектов оказания услуг, состава аукционной комиссии по предоставлению права на размещение нестационарных торговых объектов, минимальную плату на право размещения нестационарных объектов, 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нестационарных торговых объектов, расположенных на территории муниципального образования город Владикавказ»</w:t>
      </w:r>
      <w:bookmarkStart w:id="0" w:name="_GoBack"/>
      <w:bookmarkEnd w:id="0"/>
    </w:p>
    <w:p w:rsidR="007F09FA" w:rsidRPr="007F09FA" w:rsidRDefault="007F09FA" w:rsidP="00000D2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Контактная информация об участнике публичных консультаций</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вопросов,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7F09FA">
        <w:rPr>
          <w:rFonts w:cs="Times New Roman"/>
          <w:sz w:val="26"/>
          <w:szCs w:val="26"/>
          <w:lang w:eastAsia="en-US"/>
        </w:rPr>
        <w:t>г.Владикавказа</w:t>
      </w:r>
      <w:proofErr w:type="spellEnd"/>
      <w:r w:rsidRPr="007F09FA">
        <w:rPr>
          <w:rFonts w:cs="Times New Roman"/>
          <w:sz w:val="26"/>
          <w:szCs w:val="26"/>
          <w:lang w:eastAsia="en-US"/>
        </w:rPr>
        <w:t xml:space="preserve">?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lastRenderedPageBreak/>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r w:rsidRPr="007F09FA">
        <w:rPr>
          <w:rFonts w:cs="Times New Roman"/>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r w:rsidRPr="007F09FA">
        <w:rPr>
          <w:rFonts w:cs="Times New Roman"/>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7F09FA">
        <w:rPr>
          <w:rFonts w:cs="Times New Roman"/>
          <w:sz w:val="26"/>
          <w:szCs w:val="26"/>
          <w:lang w:eastAsia="en-US"/>
        </w:rPr>
        <w:t>самоуправления  и</w:t>
      </w:r>
      <w:proofErr w:type="gramEnd"/>
      <w:r w:rsidRPr="007F09FA">
        <w:rPr>
          <w:rFonts w:cs="Times New Roman"/>
          <w:sz w:val="26"/>
          <w:szCs w:val="26"/>
          <w:lang w:eastAsia="en-US"/>
        </w:rPr>
        <w:t xml:space="preserve">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Оцените издержки/упущенную выгоду (прямого, административного характера) </w:t>
      </w:r>
      <w:r w:rsidRPr="007F09FA">
        <w:rPr>
          <w:rFonts w:cs="Times New Roman"/>
          <w:sz w:val="26"/>
          <w:szCs w:val="26"/>
          <w:lang w:eastAsia="en-US"/>
        </w:rPr>
        <w:lastRenderedPageBreak/>
        <w:t>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F5A28"/>
    <w:rsid w:val="002E7D25"/>
    <w:rsid w:val="00304011"/>
    <w:rsid w:val="003645F5"/>
    <w:rsid w:val="005F2CE6"/>
    <w:rsid w:val="007F09FA"/>
    <w:rsid w:val="008F4CAA"/>
    <w:rsid w:val="00967A66"/>
    <w:rsid w:val="00DD5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6205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Михаил Кундухов</cp:lastModifiedBy>
  <cp:revision>2</cp:revision>
  <cp:lastPrinted>2020-04-23T06:06:00Z</cp:lastPrinted>
  <dcterms:created xsi:type="dcterms:W3CDTF">2022-12-05T09:34:00Z</dcterms:created>
  <dcterms:modified xsi:type="dcterms:W3CDTF">2022-12-05T09:34:00Z</dcterms:modified>
</cp:coreProperties>
</file>